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50" w:rsidRDefault="00462250" w:rsidP="00462250">
      <w:pPr>
        <w:spacing w:line="480" w:lineRule="exact"/>
        <w:jc w:val="center"/>
        <w:rPr>
          <w:rFonts w:ascii="仿宋_GB2312" w:eastAsia="仿宋_GB2312" w:hAnsi="Calibri"/>
          <w:b/>
          <w:bCs/>
          <w:sz w:val="28"/>
          <w:szCs w:val="28"/>
        </w:rPr>
      </w:pPr>
      <w:r w:rsidRPr="00F62DB6">
        <w:rPr>
          <w:rFonts w:ascii="仿宋_GB2312" w:eastAsia="仿宋_GB2312" w:hAnsi="Calibri" w:hint="eastAsia"/>
          <w:b/>
          <w:bCs/>
          <w:sz w:val="28"/>
          <w:szCs w:val="28"/>
        </w:rPr>
        <w:t>工程勘察设计企业资质、统计报表申报过程问题解析交流会</w:t>
      </w:r>
      <w:r>
        <w:rPr>
          <w:rFonts w:ascii="仿宋_GB2312" w:eastAsia="仿宋_GB2312" w:hAnsi="Calibri" w:hint="eastAsia"/>
          <w:b/>
          <w:bCs/>
          <w:sz w:val="28"/>
          <w:szCs w:val="28"/>
        </w:rPr>
        <w:t>课程安排</w:t>
      </w:r>
    </w:p>
    <w:tbl>
      <w:tblPr>
        <w:tblpPr w:leftFromText="180" w:rightFromText="180" w:vertAnchor="text" w:horzAnchor="page" w:tblpXSpec="center" w:tblpY="151"/>
        <w:tblOverlap w:val="never"/>
        <w:tblW w:w="101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526"/>
        <w:gridCol w:w="1417"/>
        <w:gridCol w:w="6237"/>
        <w:gridCol w:w="1005"/>
      </w:tblGrid>
      <w:tr w:rsidR="00462250" w:rsidTr="00B1757A">
        <w:trPr>
          <w:cantSplit/>
          <w:trHeight w:val="862"/>
          <w:jc w:val="center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366091"/>
            <w:vAlign w:val="center"/>
          </w:tcPr>
          <w:p w:rsidR="00462250" w:rsidRDefault="00462250" w:rsidP="00B1757A">
            <w:pPr>
              <w:jc w:val="center"/>
              <w:rPr>
                <w:rFonts w:ascii="宋体" w:hAnsi="宋体" w:cs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日  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366091"/>
            <w:vAlign w:val="center"/>
          </w:tcPr>
          <w:p w:rsidR="00462250" w:rsidRDefault="00462250" w:rsidP="00B1757A">
            <w:pPr>
              <w:jc w:val="center"/>
              <w:rPr>
                <w:rFonts w:ascii="宋体" w:hAnsi="宋体" w:cs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 xml:space="preserve">时 </w:t>
            </w:r>
            <w:r>
              <w:rPr>
                <w:rFonts w:ascii="宋体" w:hAnsi="宋体" w:cs="宋体"/>
                <w:b/>
                <w:bCs/>
                <w:color w:val="FFFFFF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间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366091"/>
            <w:vAlign w:val="center"/>
          </w:tcPr>
          <w:p w:rsidR="00462250" w:rsidRDefault="00462250" w:rsidP="00B1757A">
            <w:pPr>
              <w:jc w:val="center"/>
              <w:rPr>
                <w:rFonts w:ascii="宋体" w:hAnsi="宋体" w:cs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学    习    内    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366091"/>
            <w:vAlign w:val="center"/>
          </w:tcPr>
          <w:p w:rsidR="00462250" w:rsidRDefault="00462250" w:rsidP="00B1757A">
            <w:pPr>
              <w:jc w:val="center"/>
              <w:rPr>
                <w:rFonts w:ascii="宋体" w:hAnsi="宋体" w:cs="宋体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报告人</w:t>
            </w:r>
          </w:p>
        </w:tc>
      </w:tr>
      <w:tr w:rsidR="00462250" w:rsidTr="00B1757A">
        <w:trPr>
          <w:cantSplit/>
          <w:trHeight w:hRule="exact" w:val="977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shd w:val="clear" w:color="auto" w:fill="95B3D7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11月13日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62250" w:rsidRDefault="00462250" w:rsidP="00B1757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09:00-12:00</w:t>
            </w:r>
          </w:p>
          <w:p w:rsidR="00462250" w:rsidRDefault="00462250" w:rsidP="00B1757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vMerge w:val="restart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>详细解析</w:t>
            </w:r>
            <w:r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  <w:t>《工程勘察资质标准》（</w:t>
            </w:r>
            <w:r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  <w:t>2013</w:t>
            </w:r>
            <w:r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  <w:t>年版）</w:t>
            </w: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>和《工程勘察资质标准实施办法》文件</w:t>
            </w:r>
            <w:r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  <w:t>；</w:t>
            </w: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 xml:space="preserve">                                 </w:t>
            </w:r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  <w:r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  <w:t>工程勘察资质</w:t>
            </w: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>标准、政策</w:t>
            </w:r>
            <w:r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  <w:t>问题</w:t>
            </w: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>解析</w:t>
            </w:r>
            <w:r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  <w:t>。</w:t>
            </w:r>
          </w:p>
          <w:p w:rsidR="00462250" w:rsidRDefault="00462250" w:rsidP="00B1757A">
            <w:pPr>
              <w:spacing w:line="400" w:lineRule="exact"/>
              <w:rPr>
                <w:rFonts w:eastAsia="楷体"/>
                <w:bCs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440" w:lineRule="exact"/>
              <w:jc w:val="center"/>
              <w:rPr>
                <w:rFonts w:eastAsia="楷体" w:hAnsi="楷体"/>
                <w:bCs/>
                <w:color w:val="333333"/>
                <w:kern w:val="0"/>
                <w:sz w:val="24"/>
              </w:rPr>
            </w:pPr>
            <w:r>
              <w:rPr>
                <w:rFonts w:eastAsia="仿宋_GB2312" w:hAnsi="仿宋_GB2312"/>
                <w:b/>
                <w:bCs/>
                <w:color w:val="145D98"/>
                <w:sz w:val="24"/>
              </w:rPr>
              <w:t>严金森</w:t>
            </w:r>
          </w:p>
        </w:tc>
      </w:tr>
      <w:tr w:rsidR="00462250" w:rsidTr="00B1757A">
        <w:trPr>
          <w:cantSplit/>
          <w:trHeight w:hRule="exact" w:val="942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95B3D7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14:00-17:00</w:t>
            </w:r>
          </w:p>
        </w:tc>
        <w:tc>
          <w:tcPr>
            <w:tcW w:w="6237" w:type="dxa"/>
            <w:vMerge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320" w:lineRule="exact"/>
              <w:rPr>
                <w:rFonts w:eastAsia="仿宋_GB2312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1005" w:type="dxa"/>
            <w:vMerge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hd w:val="clear" w:color="auto" w:fill="FFFFFF"/>
              </w:rPr>
            </w:pPr>
          </w:p>
        </w:tc>
      </w:tr>
      <w:tr w:rsidR="00462250" w:rsidTr="00B1757A">
        <w:trPr>
          <w:cantSplit/>
          <w:trHeight w:hRule="exact" w:val="1500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shd w:val="clear" w:color="auto" w:fill="95B3D7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11月14日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09:00-12:00</w:t>
            </w:r>
          </w:p>
        </w:tc>
        <w:tc>
          <w:tcPr>
            <w:tcW w:w="6237" w:type="dxa"/>
            <w:vMerge w:val="restart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462250" w:rsidRDefault="00462250" w:rsidP="00B1757A">
            <w:pPr>
              <w:widowControl/>
              <w:wordWrap w:val="0"/>
              <w:spacing w:line="440" w:lineRule="exact"/>
              <w:rPr>
                <w:rFonts w:eastAsia="楷体"/>
                <w:bCs/>
                <w:kern w:val="0"/>
                <w:sz w:val="24"/>
              </w:rPr>
            </w:pPr>
          </w:p>
          <w:p w:rsidR="00462250" w:rsidRDefault="00462250" w:rsidP="00B1757A">
            <w:pPr>
              <w:widowControl/>
              <w:wordWrap w:val="0"/>
              <w:spacing w:line="440" w:lineRule="exact"/>
              <w:rPr>
                <w:rFonts w:eastAsia="楷体"/>
                <w:bCs/>
                <w:kern w:val="0"/>
                <w:sz w:val="24"/>
              </w:rPr>
            </w:pPr>
            <w:r>
              <w:rPr>
                <w:rFonts w:eastAsia="楷体"/>
                <w:bCs/>
                <w:kern w:val="0"/>
                <w:sz w:val="24"/>
              </w:rPr>
              <w:t>《工程设计资质标准》</w:t>
            </w:r>
            <w:r>
              <w:rPr>
                <w:rFonts w:eastAsia="楷体"/>
                <w:bCs/>
                <w:kern w:val="0"/>
                <w:sz w:val="24"/>
              </w:rPr>
              <w:t>2007</w:t>
            </w:r>
            <w:r>
              <w:rPr>
                <w:rFonts w:eastAsia="楷体"/>
                <w:bCs/>
                <w:kern w:val="0"/>
                <w:sz w:val="24"/>
              </w:rPr>
              <w:t>年修订本</w:t>
            </w:r>
            <w:r>
              <w:rPr>
                <w:rFonts w:eastAsia="楷体" w:hint="eastAsia"/>
                <w:bCs/>
                <w:kern w:val="0"/>
                <w:sz w:val="24"/>
              </w:rPr>
              <w:t>解析</w:t>
            </w:r>
            <w:r>
              <w:rPr>
                <w:rFonts w:eastAsia="楷体"/>
                <w:bCs/>
                <w:kern w:val="0"/>
                <w:sz w:val="24"/>
              </w:rPr>
              <w:t>；</w:t>
            </w:r>
          </w:p>
          <w:p w:rsidR="00462250" w:rsidRDefault="00462250" w:rsidP="00B1757A">
            <w:pPr>
              <w:spacing w:line="440" w:lineRule="exact"/>
              <w:rPr>
                <w:rFonts w:eastAsia="楷体"/>
                <w:bCs/>
                <w:kern w:val="0"/>
                <w:sz w:val="24"/>
              </w:rPr>
            </w:pPr>
            <w:r>
              <w:rPr>
                <w:rFonts w:eastAsia="楷体"/>
                <w:bCs/>
                <w:kern w:val="0"/>
                <w:sz w:val="24"/>
              </w:rPr>
              <w:t>《建设工程勘察设计资质管理规定》</w:t>
            </w:r>
            <w:r>
              <w:rPr>
                <w:rFonts w:eastAsia="楷体" w:hint="eastAsia"/>
                <w:bCs/>
                <w:kern w:val="0"/>
                <w:sz w:val="24"/>
              </w:rPr>
              <w:t>解析</w:t>
            </w:r>
            <w:r>
              <w:rPr>
                <w:rFonts w:eastAsia="楷体"/>
                <w:bCs/>
                <w:kern w:val="0"/>
                <w:sz w:val="24"/>
              </w:rPr>
              <w:t>；</w:t>
            </w:r>
          </w:p>
          <w:p w:rsidR="00462250" w:rsidRDefault="00462250" w:rsidP="00B1757A">
            <w:pPr>
              <w:spacing w:line="440" w:lineRule="exact"/>
              <w:rPr>
                <w:rFonts w:eastAsia="楷体"/>
                <w:bCs/>
                <w:kern w:val="0"/>
                <w:sz w:val="24"/>
              </w:rPr>
            </w:pPr>
          </w:p>
          <w:p w:rsidR="00462250" w:rsidRDefault="00462250" w:rsidP="00B1757A">
            <w:pPr>
              <w:spacing w:line="440" w:lineRule="exact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Cs/>
                <w:kern w:val="0"/>
                <w:sz w:val="24"/>
              </w:rPr>
              <w:t>深度解读住房和城乡建设部办公厅相继颁布的政策文件（</w:t>
            </w:r>
            <w:r>
              <w:rPr>
                <w:rFonts w:eastAsia="楷体" w:hint="eastAsia"/>
                <w:b/>
                <w:kern w:val="0"/>
                <w:sz w:val="24"/>
              </w:rPr>
              <w:t>重点介绍建设工程企业资质延续审批实行告知承诺制）；</w:t>
            </w:r>
          </w:p>
          <w:p w:rsidR="00462250" w:rsidRDefault="00462250" w:rsidP="00B1757A">
            <w:pPr>
              <w:spacing w:line="440" w:lineRule="exact"/>
              <w:rPr>
                <w:rFonts w:eastAsia="楷体"/>
                <w:bCs/>
                <w:kern w:val="0"/>
                <w:sz w:val="24"/>
              </w:rPr>
            </w:pPr>
            <w:r>
              <w:rPr>
                <w:rFonts w:eastAsia="楷体" w:hint="eastAsia"/>
                <w:bCs/>
                <w:kern w:val="0"/>
                <w:sz w:val="24"/>
              </w:rPr>
              <w:t>设计行业专业技术岗位学历专业要求介绍；</w:t>
            </w:r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462250" w:rsidRDefault="00462250" w:rsidP="00B1757A">
            <w:pPr>
              <w:spacing w:line="440" w:lineRule="exact"/>
              <w:jc w:val="center"/>
              <w:rPr>
                <w:rFonts w:eastAsia="楷体" w:hAnsi="楷体"/>
                <w:bCs/>
                <w:color w:val="333333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145D98"/>
                <w:sz w:val="24"/>
              </w:rPr>
              <w:t>方东祥</w:t>
            </w:r>
          </w:p>
        </w:tc>
      </w:tr>
      <w:tr w:rsidR="00462250" w:rsidTr="00B1757A">
        <w:trPr>
          <w:cantSplit/>
          <w:trHeight w:hRule="exact" w:val="1680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95B3D7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14:00-17:00</w:t>
            </w:r>
          </w:p>
        </w:tc>
        <w:tc>
          <w:tcPr>
            <w:tcW w:w="6237" w:type="dxa"/>
            <w:vMerge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462250" w:rsidRDefault="00462250" w:rsidP="00B1757A">
            <w:pPr>
              <w:widowControl/>
              <w:wordWrap w:val="0"/>
              <w:spacing w:line="440" w:lineRule="exact"/>
              <w:rPr>
                <w:rFonts w:eastAsia="楷体"/>
                <w:b/>
                <w:color w:val="0070C0"/>
                <w:kern w:val="0"/>
                <w:sz w:val="24"/>
              </w:rPr>
            </w:pPr>
          </w:p>
        </w:tc>
        <w:tc>
          <w:tcPr>
            <w:tcW w:w="1005" w:type="dxa"/>
            <w:vMerge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462250" w:rsidRDefault="00462250" w:rsidP="00B1757A">
            <w:pPr>
              <w:widowControl/>
              <w:wordWrap w:val="0"/>
              <w:spacing w:line="440" w:lineRule="exact"/>
              <w:jc w:val="center"/>
              <w:rPr>
                <w:rFonts w:eastAsia="楷体"/>
                <w:b/>
                <w:color w:val="0070C0"/>
                <w:kern w:val="0"/>
                <w:sz w:val="24"/>
              </w:rPr>
            </w:pPr>
          </w:p>
        </w:tc>
      </w:tr>
      <w:tr w:rsidR="00462250" w:rsidTr="00B1757A">
        <w:trPr>
          <w:cantSplit/>
          <w:trHeight w:hRule="exact" w:val="1272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shd w:val="clear" w:color="auto" w:fill="95B3D7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11月15日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09:00-12:00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  <w:r>
              <w:rPr>
                <w:rFonts w:eastAsia="楷体" w:hAnsi="楷体"/>
                <w:bCs/>
                <w:kern w:val="0"/>
                <w:sz w:val="24"/>
              </w:rPr>
              <w:t>有关工程设计资质</w:t>
            </w:r>
            <w:r>
              <w:rPr>
                <w:rFonts w:eastAsia="楷体" w:hAnsi="楷体" w:hint="eastAsia"/>
                <w:bCs/>
                <w:kern w:val="0"/>
                <w:sz w:val="24"/>
              </w:rPr>
              <w:t>标准、政策</w:t>
            </w:r>
            <w:r>
              <w:rPr>
                <w:rFonts w:eastAsia="楷体" w:hAnsi="楷体"/>
                <w:bCs/>
                <w:kern w:val="0"/>
                <w:sz w:val="24"/>
              </w:rPr>
              <w:t>问题</w:t>
            </w:r>
            <w:r>
              <w:rPr>
                <w:rFonts w:eastAsia="楷体" w:hAnsi="楷体" w:hint="eastAsia"/>
                <w:bCs/>
                <w:kern w:val="0"/>
                <w:sz w:val="24"/>
              </w:rPr>
              <w:t>交流</w:t>
            </w:r>
            <w:r>
              <w:rPr>
                <w:rFonts w:eastAsia="楷体" w:hAnsi="楷体"/>
                <w:bCs/>
                <w:kern w:val="0"/>
                <w:sz w:val="24"/>
              </w:rPr>
              <w:t>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440" w:lineRule="exact"/>
              <w:jc w:val="center"/>
              <w:rPr>
                <w:rFonts w:eastAsia="楷体" w:hAnsi="楷体"/>
                <w:bCs/>
                <w:color w:val="333333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145D98"/>
                <w:sz w:val="24"/>
              </w:rPr>
              <w:t>方东祥</w:t>
            </w:r>
          </w:p>
        </w:tc>
      </w:tr>
      <w:tr w:rsidR="00462250" w:rsidTr="00B1757A">
        <w:trPr>
          <w:cantSplit/>
          <w:trHeight w:hRule="exact" w:val="4861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shd w:val="clear" w:color="auto" w:fill="95B3D7"/>
            <w:vAlign w:val="center"/>
          </w:tcPr>
          <w:p w:rsidR="00462250" w:rsidRDefault="00462250" w:rsidP="00B1757A">
            <w:pPr>
              <w:spacing w:line="300" w:lineRule="exact"/>
              <w:jc w:val="center"/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14:00-17:00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>工程勘察设计统计报表填报有关要求及说明；</w:t>
            </w:r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>工程勘察设计统计报表系统操作及常见问题解析；</w:t>
            </w:r>
            <w:bookmarkStart w:id="0" w:name="_GoBack"/>
            <w:bookmarkEnd w:id="0"/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>工程勘察设计企业资质电子化标准、政策要点流程及系统应用；</w:t>
            </w:r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Cs/>
                <w:color w:val="333333"/>
                <w:spacing w:val="-6"/>
                <w:kern w:val="0"/>
                <w:sz w:val="24"/>
              </w:rPr>
            </w:pPr>
            <w:r>
              <w:rPr>
                <w:rFonts w:eastAsia="楷体" w:hAnsi="楷体" w:hint="eastAsia"/>
                <w:bCs/>
                <w:color w:val="333333"/>
                <w:spacing w:val="-6"/>
                <w:kern w:val="0"/>
                <w:sz w:val="24"/>
              </w:rPr>
              <w:t>“四库一平台”中勘察设计企业库、人员库、业绩库和诚信库等信息系统的操作指导、重要指标填写、考核要点及注意事项等；</w:t>
            </w:r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/>
                <w:color w:val="333333"/>
                <w:spacing w:val="-6"/>
                <w:kern w:val="0"/>
                <w:sz w:val="24"/>
              </w:rPr>
            </w:pPr>
            <w:r>
              <w:rPr>
                <w:rFonts w:eastAsia="楷体" w:hAnsi="楷体" w:hint="eastAsia"/>
                <w:b/>
                <w:color w:val="333333"/>
                <w:spacing w:val="-6"/>
                <w:kern w:val="0"/>
                <w:sz w:val="24"/>
              </w:rPr>
              <w:t>工程勘察设计企业资质延续审批实行告知承诺制模式下，在线填报申报信息分享及注意事项介绍。</w:t>
            </w:r>
          </w:p>
          <w:p w:rsidR="00462250" w:rsidRDefault="00462250" w:rsidP="00B1757A">
            <w:pPr>
              <w:spacing w:line="440" w:lineRule="exact"/>
              <w:rPr>
                <w:rFonts w:eastAsia="楷体" w:hAnsi="楷体"/>
                <w:b/>
                <w:color w:val="333333"/>
                <w:spacing w:val="-6"/>
                <w:kern w:val="0"/>
                <w:sz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62250" w:rsidRDefault="00462250" w:rsidP="00B1757A">
            <w:pPr>
              <w:spacing w:line="440" w:lineRule="exact"/>
              <w:jc w:val="center"/>
              <w:rPr>
                <w:rFonts w:eastAsia="楷体"/>
                <w:bCs/>
                <w:color w:val="333333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145D98"/>
                <w:sz w:val="24"/>
              </w:rPr>
              <w:t>蒯文涛</w:t>
            </w:r>
          </w:p>
        </w:tc>
      </w:tr>
    </w:tbl>
    <w:p w:rsidR="00462250" w:rsidRDefault="00462250" w:rsidP="00462250">
      <w:pPr>
        <w:spacing w:line="520" w:lineRule="exact"/>
        <w:rPr>
          <w:rFonts w:ascii="仿宋_GB2312" w:eastAsia="仿宋_GB2312" w:hAnsi="Calibri"/>
          <w:sz w:val="28"/>
          <w:szCs w:val="28"/>
        </w:rPr>
      </w:pPr>
    </w:p>
    <w:p w:rsidR="007470CE" w:rsidRDefault="007470CE"/>
    <w:sectPr w:rsidR="007470CE" w:rsidSect="0074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250"/>
    <w:rsid w:val="00462250"/>
    <w:rsid w:val="007470CE"/>
    <w:rsid w:val="008E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2019-10-31T03:06:00Z</dcterms:created>
  <dcterms:modified xsi:type="dcterms:W3CDTF">2019-10-31T03:06:00Z</dcterms:modified>
</cp:coreProperties>
</file>