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CF30A">
      <w:pPr>
        <w:widowControl/>
        <w:shd w:val="clear" w:color="auto" w:fill="FFFFFF"/>
        <w:kinsoku/>
        <w:autoSpaceDE/>
        <w:autoSpaceDN/>
        <w:adjustRightInd/>
        <w:snapToGrid/>
        <w:spacing w:line="560" w:lineRule="atLeast"/>
        <w:jc w:val="center"/>
        <w:textAlignment w:val="auto"/>
        <w:rPr>
          <w:rFonts w:hint="eastAsia" w:ascii="宋体" w:hAnsi="宋体" w:eastAsia="宋体" w:cs="宋体"/>
          <w:b/>
          <w:bCs/>
          <w:snapToGrid/>
          <w:color w:val="000000"/>
          <w:kern w:val="0"/>
          <w:sz w:val="44"/>
          <w:szCs w:val="44"/>
          <w:lang w:val="en-US" w:eastAsia="zh-CN"/>
        </w:rPr>
      </w:pPr>
      <w:r>
        <w:rPr>
          <w:rFonts w:hint="eastAsia" w:ascii="宋体" w:hAnsi="宋体" w:eastAsia="宋体" w:cs="宋体"/>
          <w:b/>
          <w:bCs/>
          <w:snapToGrid/>
          <w:color w:val="000000"/>
          <w:kern w:val="0"/>
          <w:sz w:val="44"/>
          <w:szCs w:val="44"/>
          <w:lang w:val="en-US" w:eastAsia="zh-CN"/>
        </w:rPr>
        <w:t>吉林省勘察设计协会专家库管理办法</w:t>
      </w:r>
    </w:p>
    <w:p w14:paraId="71D07E73">
      <w:pPr>
        <w:pStyle w:val="2"/>
        <w:rPr>
          <w:rFonts w:hint="default"/>
          <w:lang w:val="en-US" w:eastAsia="zh-CN"/>
        </w:rPr>
      </w:pPr>
    </w:p>
    <w:p w14:paraId="091A9B12">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第一章 总则</w:t>
      </w:r>
    </w:p>
    <w:p w14:paraId="5D672BB6">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第一条</w:t>
      </w:r>
      <w:r>
        <w:rPr>
          <w:rFonts w:hint="eastAsia" w:ascii="仿宋" w:hAnsi="仿宋" w:eastAsia="仿宋" w:cs="宋体"/>
          <w:snapToGrid/>
          <w:color w:val="000000"/>
          <w:kern w:val="0"/>
          <w:sz w:val="32"/>
          <w:szCs w:val="32"/>
          <w:lang w:val="en-US" w:eastAsia="zh-CN"/>
        </w:rPr>
        <w:t xml:space="preserve"> 为规范吉林省勘察设计协会专家库（以下简称“专家库”）的建设与管理，充分发挥专家在行业技术创新、质量提升、决策咨询中的支撑作用，推动勘察设计行业高质量发展，依据相关法律法规及协会章程，制定本办法。</w:t>
      </w:r>
    </w:p>
    <w:p w14:paraId="1BA4D3A8">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第二条</w:t>
      </w:r>
      <w:r>
        <w:rPr>
          <w:rFonts w:hint="eastAsia" w:ascii="仿宋" w:hAnsi="仿宋" w:eastAsia="仿宋" w:cs="宋体"/>
          <w:snapToGrid/>
          <w:color w:val="000000"/>
          <w:kern w:val="0"/>
          <w:sz w:val="32"/>
          <w:szCs w:val="32"/>
          <w:lang w:val="en-US" w:eastAsia="zh-CN"/>
        </w:rPr>
        <w:t xml:space="preserve"> 本办法适用于专家库的组建、动态管理、使用监督及入库专家的权利义务规范。</w:t>
      </w:r>
    </w:p>
    <w:p w14:paraId="5166DD5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第三条</w:t>
      </w:r>
      <w:r>
        <w:rPr>
          <w:rFonts w:hint="eastAsia" w:ascii="仿宋" w:hAnsi="仿宋" w:eastAsia="仿宋" w:cs="宋体"/>
          <w:snapToGrid/>
          <w:color w:val="000000"/>
          <w:kern w:val="0"/>
          <w:sz w:val="32"/>
          <w:szCs w:val="32"/>
          <w:lang w:val="en-US" w:eastAsia="zh-CN"/>
        </w:rPr>
        <w:t xml:space="preserve"> 专家库管理遵循“开放、择优、公正、规范”的原则，由吉林省勘察设计协会（以下简称“协会”）负责统一管理，协会秘书处承担日常运行与协调工作。</w:t>
      </w:r>
    </w:p>
    <w:p w14:paraId="51F8F6DA">
      <w:pPr>
        <w:widowControl/>
        <w:shd w:val="clear" w:color="auto" w:fill="FFFFFF"/>
        <w:kinsoku/>
        <w:autoSpaceDE/>
        <w:autoSpaceDN/>
        <w:adjustRightInd/>
        <w:snapToGrid/>
        <w:spacing w:line="560" w:lineRule="atLeast"/>
        <w:jc w:val="center"/>
        <w:textAlignment w:val="auto"/>
        <w:rPr>
          <w:rFonts w:hint="eastAsia" w:ascii="仿宋" w:hAnsi="仿宋" w:eastAsia="仿宋" w:cs="宋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第二章 结构与组成</w:t>
      </w:r>
    </w:p>
    <w:p w14:paraId="59A5E1A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第四条</w:t>
      </w:r>
      <w:r>
        <w:rPr>
          <w:rFonts w:hint="eastAsia" w:ascii="仿宋" w:hAnsi="仿宋" w:eastAsia="仿宋" w:cs="宋体"/>
          <w:snapToGrid/>
          <w:color w:val="000000"/>
          <w:kern w:val="0"/>
          <w:sz w:val="32"/>
          <w:szCs w:val="32"/>
          <w:lang w:val="en-US" w:eastAsia="zh-CN"/>
        </w:rPr>
        <w:t xml:space="preserve"> 协会根据行业发展与专业服务需求，按专业门类、技术领域、产业链环节等要素，分类构建结构合理、专业配套的行业技术咨询专家库。</w:t>
      </w:r>
    </w:p>
    <w:p w14:paraId="006F374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第五条</w:t>
      </w:r>
      <w:r>
        <w:rPr>
          <w:rFonts w:hint="eastAsia" w:ascii="仿宋" w:hAnsi="仿宋" w:eastAsia="仿宋" w:cs="宋体"/>
          <w:snapToGrid/>
          <w:color w:val="000000"/>
          <w:kern w:val="0"/>
          <w:sz w:val="32"/>
          <w:szCs w:val="32"/>
          <w:lang w:val="en-US" w:eastAsia="zh-CN"/>
        </w:rPr>
        <w:t xml:space="preserve"> 专家库由从事工程建设及相关科研、教学、管理等领域的专业技术人员组成。专家来源包括企事业单位、科研院所、高等院校、行业协（学）会等。每家单位申报数量不超过20名，信用评级或评价为最高等级的企业，申报人数可增加5名。</w:t>
      </w:r>
    </w:p>
    <w:p w14:paraId="230B29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第六条</w:t>
      </w:r>
      <w:r>
        <w:rPr>
          <w:rFonts w:hint="eastAsia" w:ascii="仿宋" w:hAnsi="仿宋" w:eastAsia="仿宋" w:cs="宋体"/>
          <w:snapToGrid/>
          <w:color w:val="000000"/>
          <w:kern w:val="0"/>
          <w:sz w:val="32"/>
          <w:szCs w:val="32"/>
          <w:lang w:val="en-US" w:eastAsia="zh-CN"/>
        </w:rPr>
        <w:t xml:space="preserve"> 专家库可根据实际工作需要，适当吸纳省外高水平专家入库，并定期对专家结构进行优化调整。</w:t>
      </w:r>
    </w:p>
    <w:p w14:paraId="20D46965">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第三章 入库条件</w:t>
      </w:r>
    </w:p>
    <w:p w14:paraId="40F5E33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第七条</w:t>
      </w:r>
      <w:r>
        <w:rPr>
          <w:rFonts w:hint="eastAsia" w:ascii="仿宋" w:hAnsi="仿宋" w:eastAsia="仿宋" w:cs="宋体"/>
          <w:snapToGrid/>
          <w:color w:val="000000"/>
          <w:kern w:val="0"/>
          <w:sz w:val="32"/>
          <w:szCs w:val="32"/>
          <w:lang w:val="en-US" w:eastAsia="zh-CN"/>
        </w:rPr>
        <w:t xml:space="preserve"> 入库专家应具备以下基本条件：</w:t>
      </w:r>
    </w:p>
    <w:p w14:paraId="4BCD5ADC">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（一）遵守法律法规，恪守廉洁自律准则，具备良好的职业道德与敬业精神。对待工作科学严谨、客观公正，富有强烈的使命感与责任感，敢于发表专业评论和意见；</w:t>
      </w:r>
    </w:p>
    <w:p w14:paraId="5B0AD933">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具备扎实深厚的理论功底，熟练掌握相关法律法规、行业政策及技术标准规范。在相关专业领域，具备较高的学术造诣或丰富的实践经验，对本专业在省内外的技术发展趋势具有前瞻性认知与独到见解，在行业内享有较高的知名度和影响力；</w:t>
      </w:r>
    </w:p>
    <w:p w14:paraId="65615CC9">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（三）身体健康，能够胜任专家工作，年龄为40至60周岁之间；</w:t>
      </w:r>
    </w:p>
    <w:p w14:paraId="3DA0D054">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（四）无学术不端行为、不良信用记录及违法犯罪记录，所主持或核心参与的勘察设计、施工验收项目未发生过质量安全事故；</w:t>
      </w:r>
    </w:p>
    <w:p w14:paraId="7B47A8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（五）本人自愿申请，且所在单位支持其参与协会组织的相关工作。</w:t>
      </w:r>
    </w:p>
    <w:p w14:paraId="30C2C482">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第八条</w:t>
      </w:r>
      <w:r>
        <w:rPr>
          <w:rFonts w:hint="eastAsia" w:ascii="仿宋" w:hAnsi="仿宋" w:eastAsia="仿宋" w:cs="宋体"/>
          <w:snapToGrid/>
          <w:color w:val="000000"/>
          <w:kern w:val="0"/>
          <w:sz w:val="32"/>
          <w:szCs w:val="32"/>
          <w:lang w:val="en-US" w:eastAsia="zh-CN"/>
        </w:rPr>
        <w:t xml:space="preserve"> 入库专家应具备以下专业条件：</w:t>
      </w:r>
    </w:p>
    <w:p w14:paraId="474FB98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（一）具有15年以上工作经验，具备高级工程师及以上专业技术职称或高校副教授及以上专业技术职务，并取得相应专业最高等级注册执业资格；</w:t>
      </w:r>
    </w:p>
    <w:p w14:paraId="5D55834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（二）在甲级（一级)勘察设计、施工、监理、检测等单位担任技术负责人、总工程师满5年，主持不少于2项大型工程项目；或在高等院校承担过国家课题研究项目不少于1项，或省级课题研究项目不少于2项；</w:t>
      </w:r>
    </w:p>
    <w:p w14:paraId="615357E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（三）作为主要完成人获得省级及以上优秀勘察设计成果、科技进步奖、优质工程奖等奖项；高等院校人员获得省级及以上荣誉奖励，或拥有专利、论文独著等成果；</w:t>
      </w:r>
    </w:p>
    <w:p w14:paraId="1692D3E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（四）近</w:t>
      </w:r>
      <w:r>
        <w:rPr>
          <w:rFonts w:hint="eastAsia" w:ascii="仿宋" w:hAnsi="仿宋" w:eastAsia="仿宋" w:cs="宋体"/>
          <w:snapToGrid/>
          <w:color w:val="000000"/>
          <w:kern w:val="0"/>
          <w:sz w:val="32"/>
          <w:szCs w:val="32"/>
          <w:highlight w:val="none"/>
          <w:lang w:val="en-US" w:eastAsia="zh-CN"/>
        </w:rPr>
        <w:t>五</w:t>
      </w:r>
      <w:r>
        <w:rPr>
          <w:rFonts w:hint="eastAsia" w:ascii="仿宋" w:hAnsi="仿宋" w:eastAsia="仿宋" w:cs="宋体"/>
          <w:snapToGrid/>
          <w:color w:val="000000"/>
          <w:kern w:val="0"/>
          <w:sz w:val="32"/>
          <w:szCs w:val="32"/>
          <w:lang w:val="en-US" w:eastAsia="zh-CN"/>
        </w:rPr>
        <w:t>年作为主编参与国家、行业、省地方标准、标准设计、团体标准第一或第二起草人不少于2项，或参编不少于4项；</w:t>
      </w:r>
    </w:p>
    <w:p w14:paraId="3CFC1DA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（五）在省级及以上行业协（学）会、学术机构担任理事（委员）及以上职务，或在相关领域具有较高学术影响力；</w:t>
      </w:r>
    </w:p>
    <w:p w14:paraId="105F9590">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（六）在专业领域有突出贡献，经协会认定可破格入库。</w:t>
      </w:r>
    </w:p>
    <w:p w14:paraId="277EC7FE">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第四章 入库程序</w:t>
      </w:r>
    </w:p>
    <w:p w14:paraId="6CB0967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第九条</w:t>
      </w:r>
      <w:r>
        <w:rPr>
          <w:rFonts w:hint="eastAsia" w:ascii="仿宋" w:hAnsi="仿宋" w:eastAsia="仿宋" w:cs="宋体"/>
          <w:snapToGrid/>
          <w:color w:val="000000"/>
          <w:kern w:val="0"/>
          <w:sz w:val="32"/>
          <w:szCs w:val="32"/>
          <w:lang w:val="en-US" w:eastAsia="zh-CN"/>
        </w:rPr>
        <w:t xml:space="preserve"> 专家入库按以下程序进行：</w:t>
      </w:r>
    </w:p>
    <w:p w14:paraId="16891FEF">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（一）推荐与申报。专家入库采取单位推荐方式。符合条件的人员填写《吉林省勘察设计协会专家推荐表》，附相关佐证材料，经所在单位审核后报送协会秘书处。推荐单位应对申报材料的真实性负责；</w:t>
      </w:r>
    </w:p>
    <w:p w14:paraId="0DBBE0E5">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（二）资格审核。协会秘书处对申报材料进行核实，组织专家或专门工作组进行综合评议，提出拟入库专家名单；</w:t>
      </w:r>
    </w:p>
    <w:p w14:paraId="34FACD96">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（三）公示。拟入库专家名单在协会官方网站公示，公示期不少于5个工作日；</w:t>
      </w:r>
    </w:p>
    <w:p w14:paraId="162F9A9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highlight w:val="none"/>
          <w:lang w:val="en-US" w:eastAsia="zh-CN"/>
        </w:rPr>
        <w:t>（四）</w:t>
      </w:r>
      <w:r>
        <w:rPr>
          <w:rFonts w:hint="eastAsia" w:ascii="仿宋" w:hAnsi="仿宋" w:eastAsia="仿宋" w:cs="宋体"/>
          <w:snapToGrid/>
          <w:color w:val="000000"/>
          <w:kern w:val="0"/>
          <w:sz w:val="32"/>
          <w:szCs w:val="32"/>
          <w:lang w:val="en-US" w:eastAsia="zh-CN"/>
        </w:rPr>
        <w:t>批准入库与聘期管理</w:t>
      </w:r>
    </w:p>
    <w:p w14:paraId="33B41407">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公示无异议的，由协会发文公布并纳入专家库管理，同时颁发专家聘书。专家聘期一般为2年。</w:t>
      </w:r>
    </w:p>
    <w:p w14:paraId="236C4C08">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聘期届满与续聘管理：</w:t>
      </w:r>
    </w:p>
    <w:p w14:paraId="1F90DFC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1. 履职评价：协会将在专家聘期届满前3个月，结合专家聘期内的履职情况、工作质量、诚信记录、活动参与频率及效果等进行综合评价。</w:t>
      </w:r>
    </w:p>
    <w:p w14:paraId="193C929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2. 续聘审核：聘期届满且愿意继续担任专家的，需向协会提出续聘申请。协会将依据其履职评价结果开展审核工作。对符合续聘条件的专家，予以续聘并换发聘书；对不符合续聘条件或未提交续聘申请的专家，聘期届满后自然解聘。</w:t>
      </w:r>
    </w:p>
    <w:p w14:paraId="198AAEDB">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3. 动态退出：未通过续聘审核的专家，按“期满未续聘”情形，依据动态管理相关规定办理退出，其专家资格自聘期届满之日起自动终止，协会同步将其从专家库中移出。</w:t>
      </w:r>
    </w:p>
    <w:p w14:paraId="47D51291">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第五章 管理与使用</w:t>
      </w:r>
    </w:p>
    <w:p w14:paraId="1BF6CBD5">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第十条</w:t>
      </w:r>
      <w:r>
        <w:rPr>
          <w:rFonts w:hint="eastAsia" w:ascii="仿宋" w:hAnsi="仿宋" w:eastAsia="仿宋" w:cs="宋体"/>
          <w:snapToGrid/>
          <w:color w:val="000000"/>
          <w:kern w:val="0"/>
          <w:sz w:val="32"/>
          <w:szCs w:val="32"/>
          <w:lang w:val="en-US" w:eastAsia="zh-CN"/>
        </w:rPr>
        <w:t xml:space="preserve"> 专家库实行动态管理，协会定期对专家信息进行复核与更新，根据专家履职情况、专业能力及行业需求进行调整。</w:t>
      </w:r>
    </w:p>
    <w:p w14:paraId="6B8EC90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第十一条</w:t>
      </w:r>
      <w:r>
        <w:rPr>
          <w:rFonts w:hint="eastAsia" w:ascii="仿宋" w:hAnsi="仿宋" w:eastAsia="仿宋" w:cs="宋体"/>
          <w:snapToGrid/>
          <w:color w:val="000000"/>
          <w:kern w:val="0"/>
          <w:sz w:val="32"/>
          <w:szCs w:val="32"/>
          <w:lang w:val="en-US" w:eastAsia="zh-CN"/>
        </w:rPr>
        <w:t xml:space="preserve"> 协会建立专家信息档案，包括专家基本信息、专业领域、工作履历、主要业绩、参与活动记录及诚信情况等。</w:t>
      </w:r>
    </w:p>
    <w:p w14:paraId="1D47DBC9">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第十二条</w:t>
      </w:r>
      <w:r>
        <w:rPr>
          <w:rFonts w:hint="eastAsia" w:ascii="仿宋" w:hAnsi="仿宋" w:eastAsia="仿宋" w:cs="宋体"/>
          <w:snapToGrid/>
          <w:color w:val="000000"/>
          <w:kern w:val="0"/>
          <w:sz w:val="32"/>
          <w:szCs w:val="32"/>
          <w:lang w:val="en-US" w:eastAsia="zh-CN"/>
        </w:rPr>
        <w:t xml:space="preserve"> 协会根据工作需要，按照“专业匹配、利益回避、择优选用”的原则，从专家库中选取专家参与评审、咨询、论证、标准编制、技术培训等活动，并做好相应记录与监督。</w:t>
      </w:r>
    </w:p>
    <w:p w14:paraId="68076A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第十三条</w:t>
      </w:r>
      <w:r>
        <w:rPr>
          <w:rFonts w:hint="eastAsia" w:ascii="仿宋" w:hAnsi="仿宋" w:eastAsia="仿宋" w:cs="宋体"/>
          <w:snapToGrid/>
          <w:color w:val="000000"/>
          <w:kern w:val="0"/>
          <w:sz w:val="32"/>
          <w:szCs w:val="32"/>
          <w:lang w:val="en-US" w:eastAsia="zh-CN"/>
        </w:rPr>
        <w:t xml:space="preserve"> 专家库信息应妥善保管，未经授权不得向第三方披露或用于非工作用途。</w:t>
      </w:r>
    </w:p>
    <w:p w14:paraId="5E2E62B6">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highlight w:val="none"/>
          <w:lang w:val="en-US" w:eastAsia="zh-CN"/>
        </w:rPr>
      </w:pPr>
      <w:r>
        <w:rPr>
          <w:rFonts w:hint="eastAsia" w:ascii="黑体" w:hAnsi="黑体" w:eastAsia="黑体" w:cs="黑体"/>
          <w:snapToGrid/>
          <w:color w:val="000000"/>
          <w:kern w:val="0"/>
          <w:sz w:val="32"/>
          <w:szCs w:val="32"/>
          <w:highlight w:val="none"/>
          <w:lang w:val="en-US" w:eastAsia="zh-CN"/>
        </w:rPr>
        <w:t>第六章 权利与义务</w:t>
      </w:r>
    </w:p>
    <w:p w14:paraId="355009E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b/>
          <w:bCs/>
          <w:snapToGrid/>
          <w:color w:val="000000"/>
          <w:kern w:val="0"/>
          <w:sz w:val="32"/>
          <w:szCs w:val="32"/>
          <w:highlight w:val="none"/>
          <w:lang w:val="en-US" w:eastAsia="zh-CN"/>
        </w:rPr>
        <w:t>第十四条</w:t>
      </w:r>
      <w:r>
        <w:rPr>
          <w:rFonts w:hint="eastAsia" w:ascii="仿宋" w:hAnsi="仿宋" w:eastAsia="仿宋" w:cs="宋体"/>
          <w:snapToGrid/>
          <w:color w:val="000000"/>
          <w:kern w:val="0"/>
          <w:sz w:val="32"/>
          <w:szCs w:val="32"/>
          <w:highlight w:val="none"/>
          <w:lang w:val="en-US" w:eastAsia="zh-CN"/>
        </w:rPr>
        <w:t xml:space="preserve"> 专家享有以下权利：</w:t>
      </w:r>
    </w:p>
    <w:p w14:paraId="00041BD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（一）独立、客观、公正地发表评审、咨询、论证等专业意见，不受任何组织或个人干涉；</w:t>
      </w:r>
    </w:p>
    <w:p w14:paraId="53460975">
      <w:pPr>
        <w:widowControl/>
        <w:shd w:val="clear" w:color="auto" w:fill="FFFFFF"/>
        <w:kinsoku/>
        <w:autoSpaceDE/>
        <w:autoSpaceDN/>
        <w:adjustRightInd/>
        <w:snapToGrid/>
        <w:spacing w:line="560" w:lineRule="atLeast"/>
        <w:ind w:firstLine="640" w:firstLineChars="200"/>
        <w:jc w:val="both"/>
        <w:textAlignment w:val="auto"/>
        <w:rPr>
          <w:rFonts w:hint="eastAsia" w:eastAsia="宋体"/>
          <w:highlight w:val="none"/>
          <w:lang w:eastAsia="zh-CN"/>
        </w:rPr>
      </w:pPr>
      <w:r>
        <w:rPr>
          <w:rFonts w:hint="eastAsia" w:ascii="仿宋" w:hAnsi="仿宋" w:eastAsia="仿宋" w:cs="宋体"/>
          <w:snapToGrid/>
          <w:color w:val="000000"/>
          <w:kern w:val="0"/>
          <w:sz w:val="32"/>
          <w:szCs w:val="32"/>
          <w:highlight w:val="none"/>
          <w:lang w:val="en-US" w:eastAsia="zh-CN"/>
        </w:rPr>
        <w:t>（二）获取与所承担或参与的专家工作相关的必要信息、资料及工作条件；</w:t>
      </w:r>
    </w:p>
    <w:p w14:paraId="070F22B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（三）依据有关规定和协会相关标准，获得相应专家劳务报酬；</w:t>
      </w:r>
    </w:p>
    <w:p w14:paraId="198C986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（四）对涉及本人的履职、异议处理等事项，享有知情权、陈述权和申诉权；</w:t>
      </w:r>
    </w:p>
    <w:p w14:paraId="00C7214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（五）根据自身情况，可自愿申请退出专家库；</w:t>
      </w:r>
    </w:p>
    <w:p w14:paraId="2CE6C1C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（六）法律法规、规章及本办法规定的其他权利。</w:t>
      </w:r>
    </w:p>
    <w:p w14:paraId="34A568AA">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第十五条</w:t>
      </w:r>
      <w:r>
        <w:rPr>
          <w:rFonts w:hint="eastAsia" w:ascii="仿宋" w:hAnsi="仿宋" w:eastAsia="仿宋" w:cs="宋体"/>
          <w:snapToGrid/>
          <w:color w:val="000000"/>
          <w:kern w:val="0"/>
          <w:sz w:val="32"/>
          <w:szCs w:val="32"/>
          <w:lang w:val="en-US" w:eastAsia="zh-CN"/>
        </w:rPr>
        <w:t xml:space="preserve"> 专家应履行以下义务：</w:t>
      </w:r>
    </w:p>
    <w:p w14:paraId="04F0C1FD">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（一）遵守工作纪律，恪守职业道德，客观公正履行职责；</w:t>
      </w:r>
    </w:p>
    <w:p w14:paraId="44F771A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（二）严格遵守保密规定，不得泄露工作中知悉的国家秘密、商业秘密和技术秘密；</w:t>
      </w:r>
    </w:p>
    <w:p w14:paraId="4DEC84E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（三）遵守回避制度，与所参与项目存在利害关系的，应主动申明并回避；</w:t>
      </w:r>
    </w:p>
    <w:p w14:paraId="79EE4D9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（四）未经协会许可，不得以协会专家名义对外从事与协会活动无关的事务；</w:t>
      </w:r>
    </w:p>
    <w:p w14:paraId="0E2FA3E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（五）个人信息发生变更时，及时向协会秘书处报备；</w:t>
      </w:r>
    </w:p>
    <w:p w14:paraId="7A677501">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（六）对所出具的意见和建议独立承担相应责任。</w:t>
      </w:r>
    </w:p>
    <w:p w14:paraId="51F1FDC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第十六条</w:t>
      </w:r>
      <w:r>
        <w:rPr>
          <w:rFonts w:hint="eastAsia" w:ascii="仿宋" w:hAnsi="仿宋" w:eastAsia="仿宋" w:cs="宋体"/>
          <w:snapToGrid/>
          <w:color w:val="000000"/>
          <w:kern w:val="0"/>
          <w:sz w:val="32"/>
          <w:szCs w:val="32"/>
          <w:lang w:val="en-US" w:eastAsia="zh-CN"/>
        </w:rPr>
        <w:t xml:space="preserve"> 专家有下列情形之一的，协会可予以退库处理：</w:t>
      </w:r>
    </w:p>
    <w:p w14:paraId="06BC55B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（一）弄虚作假、徇私舞弊，不能客观公正履行职责的；</w:t>
      </w:r>
    </w:p>
    <w:p w14:paraId="51B5E39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（二）泄露工作中知悉的保密信息，造成不良后果的；</w:t>
      </w:r>
    </w:p>
    <w:p w14:paraId="415D0DA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（三）无正当理由，连续两次不参加协会安排工作的；</w:t>
      </w:r>
    </w:p>
    <w:p w14:paraId="3E683B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（四）利用专家身份谋取不正当利益或为他人谋取不当便利的；</w:t>
      </w:r>
    </w:p>
    <w:p w14:paraId="409FC3B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（五）因身体健康、工作变动等原因不宜继续担任专家的；</w:t>
      </w:r>
    </w:p>
    <w:p w14:paraId="7064DE9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（六）受到刑事处罚或被列入严重失信主体名单的；</w:t>
      </w:r>
    </w:p>
    <w:p w14:paraId="1F82B4A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（七）其他不适宜继续担任专家的情形。</w:t>
      </w:r>
    </w:p>
    <w:p w14:paraId="4230F55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第十七条</w:t>
      </w:r>
      <w:r>
        <w:rPr>
          <w:rFonts w:hint="eastAsia" w:ascii="仿宋" w:hAnsi="仿宋" w:eastAsia="仿宋" w:cs="宋体"/>
          <w:snapToGrid/>
          <w:color w:val="000000"/>
          <w:kern w:val="0"/>
          <w:sz w:val="32"/>
          <w:szCs w:val="32"/>
          <w:lang w:val="en-US" w:eastAsia="zh-CN"/>
        </w:rPr>
        <w:t xml:space="preserve"> 专家对退库处理有异议的，可向协会秘书处提出书面申诉，由协会按程序复核。</w:t>
      </w:r>
    </w:p>
    <w:p w14:paraId="4128D23C">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第七章 附则</w:t>
      </w:r>
    </w:p>
    <w:p w14:paraId="0FAD3EE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第十八条</w:t>
      </w:r>
      <w:r>
        <w:rPr>
          <w:rFonts w:hint="eastAsia" w:ascii="仿宋" w:hAnsi="仿宋" w:eastAsia="仿宋" w:cs="宋体"/>
          <w:snapToGrid/>
          <w:color w:val="000000"/>
          <w:kern w:val="0"/>
          <w:sz w:val="32"/>
          <w:szCs w:val="32"/>
          <w:lang w:val="en-US" w:eastAsia="zh-CN"/>
        </w:rPr>
        <w:t xml:space="preserve"> 本办法由吉林省勘察设计协会负责解释。</w:t>
      </w:r>
    </w:p>
    <w:p w14:paraId="271E639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第十九条</w:t>
      </w:r>
      <w:r>
        <w:rPr>
          <w:rFonts w:hint="eastAsia" w:ascii="仿宋" w:hAnsi="仿宋" w:eastAsia="仿宋" w:cs="宋体"/>
          <w:snapToGrid/>
          <w:color w:val="000000"/>
          <w:kern w:val="0"/>
          <w:sz w:val="32"/>
          <w:szCs w:val="32"/>
          <w:lang w:val="en-US" w:eastAsia="zh-CN"/>
        </w:rPr>
        <w:t xml:space="preserve"> 本办法自发布之日起施行。原《吉林省勘察设计行业技术咨询专家库管理办法》同时废止。</w:t>
      </w:r>
    </w:p>
    <w:p w14:paraId="2623019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4B2F5A1">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04717DC">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45F372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50ABAB2E">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76023BE">
      <w:pPr>
        <w:pStyle w:val="2"/>
        <w:rPr>
          <w:rFonts w:hint="eastAsia" w:ascii="仿宋" w:hAnsi="仿宋" w:eastAsia="仿宋" w:cs="宋体"/>
          <w:snapToGrid/>
          <w:color w:val="000000"/>
          <w:kern w:val="0"/>
          <w:sz w:val="32"/>
          <w:szCs w:val="32"/>
          <w:lang w:val="en-US" w:eastAsia="zh-CN"/>
        </w:rPr>
      </w:pPr>
    </w:p>
    <w:p w14:paraId="614EDDDA">
      <w:pPr>
        <w:pStyle w:val="2"/>
        <w:rPr>
          <w:rFonts w:hint="eastAsia" w:ascii="仿宋" w:hAnsi="仿宋" w:eastAsia="仿宋" w:cs="宋体"/>
          <w:snapToGrid/>
          <w:color w:val="000000"/>
          <w:kern w:val="0"/>
          <w:sz w:val="32"/>
          <w:szCs w:val="32"/>
          <w:lang w:val="en-US" w:eastAsia="zh-CN"/>
        </w:rPr>
      </w:pPr>
    </w:p>
    <w:p w14:paraId="4B6BA806">
      <w:pPr>
        <w:pStyle w:val="2"/>
        <w:rPr>
          <w:rFonts w:hint="eastAsia" w:ascii="仿宋" w:hAnsi="仿宋" w:eastAsia="仿宋" w:cs="宋体"/>
          <w:snapToGrid/>
          <w:color w:val="000000"/>
          <w:kern w:val="0"/>
          <w:sz w:val="32"/>
          <w:szCs w:val="32"/>
          <w:lang w:val="en-US" w:eastAsia="zh-CN"/>
        </w:rPr>
      </w:pPr>
    </w:p>
    <w:p w14:paraId="5883B258">
      <w:pPr>
        <w:pStyle w:val="2"/>
        <w:rPr>
          <w:rFonts w:hint="eastAsia" w:ascii="仿宋" w:hAnsi="仿宋" w:eastAsia="仿宋" w:cs="宋体"/>
          <w:snapToGrid/>
          <w:color w:val="000000"/>
          <w:kern w:val="0"/>
          <w:sz w:val="32"/>
          <w:szCs w:val="32"/>
          <w:lang w:val="en-US" w:eastAsia="zh-CN"/>
        </w:rPr>
      </w:pPr>
    </w:p>
    <w:p w14:paraId="5132BD83">
      <w:pPr>
        <w:pStyle w:val="2"/>
        <w:rPr>
          <w:rFonts w:hint="eastAsia" w:ascii="仿宋" w:hAnsi="仿宋" w:eastAsia="仿宋" w:cs="宋体"/>
          <w:snapToGrid/>
          <w:color w:val="000000"/>
          <w:kern w:val="0"/>
          <w:sz w:val="32"/>
          <w:szCs w:val="32"/>
          <w:lang w:val="en-US" w:eastAsia="zh-CN"/>
        </w:rPr>
      </w:pPr>
    </w:p>
    <w:p w14:paraId="49728463">
      <w:pPr>
        <w:pStyle w:val="2"/>
        <w:rPr>
          <w:rFonts w:hint="eastAsia" w:ascii="仿宋" w:hAnsi="仿宋" w:eastAsia="仿宋" w:cs="宋体"/>
          <w:snapToGrid/>
          <w:color w:val="000000"/>
          <w:kern w:val="0"/>
          <w:sz w:val="32"/>
          <w:szCs w:val="32"/>
          <w:lang w:val="en-US" w:eastAsia="zh-CN"/>
        </w:rPr>
      </w:pPr>
    </w:p>
    <w:p w14:paraId="7C1C7333">
      <w:pPr>
        <w:pStyle w:val="2"/>
        <w:rPr>
          <w:rFonts w:hint="eastAsia" w:ascii="仿宋" w:hAnsi="仿宋" w:eastAsia="仿宋" w:cs="宋体"/>
          <w:snapToGrid/>
          <w:color w:val="000000"/>
          <w:kern w:val="0"/>
          <w:sz w:val="32"/>
          <w:szCs w:val="32"/>
          <w:lang w:val="en-US" w:eastAsia="zh-CN"/>
        </w:rPr>
      </w:pPr>
    </w:p>
    <w:p w14:paraId="4B939E12">
      <w:pPr>
        <w:spacing w:line="240" w:lineRule="auto"/>
        <w:jc w:val="center"/>
        <w:rPr>
          <w:rFonts w:hint="eastAsia" w:ascii="宋体" w:hAnsi="宋体"/>
          <w:b/>
          <w:sz w:val="36"/>
          <w:szCs w:val="36"/>
        </w:rPr>
      </w:pPr>
    </w:p>
    <w:p w14:paraId="3A89F45A">
      <w:pPr>
        <w:spacing w:line="240" w:lineRule="auto"/>
        <w:jc w:val="center"/>
        <w:rPr>
          <w:rFonts w:hint="eastAsia" w:ascii="宋体" w:hAnsi="宋体"/>
          <w:b/>
          <w:sz w:val="36"/>
          <w:szCs w:val="36"/>
        </w:rPr>
      </w:pPr>
    </w:p>
    <w:p w14:paraId="7D0D8E5C">
      <w:pPr>
        <w:spacing w:line="240" w:lineRule="auto"/>
        <w:jc w:val="center"/>
        <w:rPr>
          <w:rFonts w:hint="eastAsia" w:ascii="宋体" w:hAnsi="宋体"/>
          <w:b/>
          <w:sz w:val="36"/>
          <w:szCs w:val="36"/>
        </w:rPr>
      </w:pPr>
    </w:p>
    <w:p w14:paraId="53991BF9">
      <w:pPr>
        <w:spacing w:line="240" w:lineRule="auto"/>
        <w:jc w:val="center"/>
        <w:rPr>
          <w:rFonts w:hint="eastAsia" w:ascii="宋体" w:hAnsi="宋体"/>
          <w:b/>
          <w:sz w:val="36"/>
          <w:szCs w:val="36"/>
        </w:rPr>
      </w:pPr>
    </w:p>
    <w:p w14:paraId="04156FC2">
      <w:pPr>
        <w:spacing w:line="240" w:lineRule="auto"/>
        <w:jc w:val="center"/>
        <w:rPr>
          <w:rFonts w:hint="eastAsia" w:ascii="宋体" w:hAnsi="宋体"/>
          <w:b/>
          <w:sz w:val="36"/>
          <w:szCs w:val="36"/>
        </w:rPr>
      </w:pPr>
    </w:p>
    <w:p w14:paraId="33934254">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bookmarkStart w:id="0" w:name="_GoBack"/>
      <w:bookmarkEnd w:id="0"/>
    </w:p>
    <w:sectPr>
      <w:footerReference r:id="rId5" w:type="default"/>
      <w:pgSz w:w="11906" w:h="16838"/>
      <w:pgMar w:top="1701" w:right="850" w:bottom="1417" w:left="90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9D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AC4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0AC4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42B25"/>
    <w:rsid w:val="006E7193"/>
    <w:rsid w:val="08B16473"/>
    <w:rsid w:val="0A3D532E"/>
    <w:rsid w:val="0D0435D9"/>
    <w:rsid w:val="0DDE3227"/>
    <w:rsid w:val="101031A0"/>
    <w:rsid w:val="105E23FD"/>
    <w:rsid w:val="106B4B1A"/>
    <w:rsid w:val="13B30CB1"/>
    <w:rsid w:val="17BD20FF"/>
    <w:rsid w:val="19165543"/>
    <w:rsid w:val="1AA50C28"/>
    <w:rsid w:val="1DB42B25"/>
    <w:rsid w:val="1E8219AC"/>
    <w:rsid w:val="22C478DC"/>
    <w:rsid w:val="24A3267C"/>
    <w:rsid w:val="24FB4266"/>
    <w:rsid w:val="283D5FEB"/>
    <w:rsid w:val="29804D3A"/>
    <w:rsid w:val="2B356629"/>
    <w:rsid w:val="2C921689"/>
    <w:rsid w:val="31DB16A7"/>
    <w:rsid w:val="34727E5E"/>
    <w:rsid w:val="39DD3AE3"/>
    <w:rsid w:val="3B2C6AD0"/>
    <w:rsid w:val="3D883B84"/>
    <w:rsid w:val="3DDB1939"/>
    <w:rsid w:val="3E09134A"/>
    <w:rsid w:val="3EFC4A0B"/>
    <w:rsid w:val="4091073C"/>
    <w:rsid w:val="40B419C1"/>
    <w:rsid w:val="43F65ECD"/>
    <w:rsid w:val="44E0673C"/>
    <w:rsid w:val="4EB1309C"/>
    <w:rsid w:val="4EE647F9"/>
    <w:rsid w:val="4FA1313F"/>
    <w:rsid w:val="517746BD"/>
    <w:rsid w:val="55A47054"/>
    <w:rsid w:val="587A4EC7"/>
    <w:rsid w:val="59114FB0"/>
    <w:rsid w:val="5BB13D97"/>
    <w:rsid w:val="5E4F64AE"/>
    <w:rsid w:val="5EFE54DD"/>
    <w:rsid w:val="5F513C10"/>
    <w:rsid w:val="601E082E"/>
    <w:rsid w:val="61135EB8"/>
    <w:rsid w:val="62837233"/>
    <w:rsid w:val="640026DC"/>
    <w:rsid w:val="64D867AC"/>
    <w:rsid w:val="65C71559"/>
    <w:rsid w:val="660E4EA0"/>
    <w:rsid w:val="6844104D"/>
    <w:rsid w:val="68E65C61"/>
    <w:rsid w:val="694A2693"/>
    <w:rsid w:val="69AE49D0"/>
    <w:rsid w:val="69BE4592"/>
    <w:rsid w:val="6F307C36"/>
    <w:rsid w:val="70926DFA"/>
    <w:rsid w:val="72B461BC"/>
    <w:rsid w:val="74045D06"/>
    <w:rsid w:val="75EF084A"/>
    <w:rsid w:val="795B7FA5"/>
    <w:rsid w:val="79BC4EE7"/>
    <w:rsid w:val="7A03405E"/>
    <w:rsid w:val="7A846D51"/>
    <w:rsid w:val="7C2A32C5"/>
    <w:rsid w:val="7E462FD2"/>
    <w:rsid w:val="7EFB200E"/>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d8a3b0b4-9f49-4804-8e93-2508f3a9b485</errorID>
      <errorWord>法律、法规</errorWord>
      <group>L1_Word</group>
      <groupName>字词问题</groupName>
      <ability>L2_Typo</ability>
      <abilityName>字词错误</abilityName>
      <candidateList>
        <item>法律法规</item>
      </candidateList>
      <explain/>
      <paraID>2CE6C1C3</paraID>
      <start>3</start>
      <end>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5829e-73bc-471b-bf52-93215652557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3212</Words>
  <Characters>3220</Characters>
  <Lines>0</Lines>
  <Paragraphs>0</Paragraphs>
  <TotalTime>45</TotalTime>
  <ScaleCrop>false</ScaleCrop>
  <LinksUpToDate>false</LinksUpToDate>
  <CharactersWithSpaces>3313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2026-03-25T08:17:00Z</dcterms:created>
  <dc:creator>刘子玉</dc:creator>
  <cp:lastModifiedBy>铜笛</cp:lastModifiedBy>
  <cp:lastPrinted>2026-04-08T08:13:00Z</cp:lastPrinted>
  <dcterms:modified xsi:type="dcterms:W3CDTF">2026-04-09T09:05:58Z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1838C4DB9C4F422D99A0407D0D6565FA_13</vt:lpwstr>
  </property>
  <property fmtid="{D5CDD505-2E9C-101B-9397-08002B2CF9AE}" pid="4" name="KSOTemplateDocerSaveRecord">
    <vt:lpwstr>eyJoZGlkIjoiMzY2MGNjZmFhNGMxMmMyY2I1OWU3YjU4ODY3MDE3NDkiLCJ1c2VySWQiOiI5OTQ2MDI1NjYifQ==</vt:lpwstr>
  </property>
</Properties>
</file>